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27699">
      <w:pPr>
        <w:jc w:val="center"/>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pPr>
      <w:bookmarkStart w:id="0" w:name="_GoBack"/>
      <w:r>
        <w:rPr>
          <w:rFonts w:ascii="sans-serif" w:hAnsi="sans-serif" w:eastAsia="sans-serif" w:cs="sans-serif"/>
          <w:i w:val="0"/>
          <w:iCs w:val="0"/>
          <w:caps w:val="0"/>
          <w:color w:val="000000"/>
          <w:spacing w:val="0"/>
          <w:sz w:val="24"/>
          <w:szCs w:val="24"/>
        </w:rPr>
        <w:t>广元市中医医院门诊住院综合楼建设项目室内环境检测市场询价报价清单</w:t>
      </w:r>
    </w:p>
    <w:bookmarkEnd w:id="0"/>
    <w:p w14:paraId="5C0EC678">
      <w:pPr>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pPr>
    </w:p>
    <w:p w14:paraId="71F85903">
      <w:pPr>
        <w:rPr>
          <w:rFonts w:hint="default" w:ascii="微软雅黑" w:hAnsi="微软雅黑" w:eastAsia="微软雅黑" w:cs="微软雅黑"/>
          <w:b w:val="0"/>
          <w:bCs w:val="0"/>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t>检测内容：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123"/>
        <w:gridCol w:w="967"/>
        <w:gridCol w:w="1185"/>
        <w:gridCol w:w="1937"/>
        <w:gridCol w:w="1560"/>
      </w:tblGrid>
      <w:tr w14:paraId="6E7D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40" w:type="pct"/>
          </w:tcPr>
          <w:p w14:paraId="2880383C">
            <w:pPr>
              <w:rPr>
                <w:rFonts w:hint="default" w:ascii="微软雅黑" w:hAnsi="微软雅黑" w:eastAsia="微软雅黑" w:cs="微软雅黑"/>
                <w:b w:val="0"/>
                <w:bCs w:val="0"/>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t>序号</w:t>
            </w:r>
          </w:p>
        </w:tc>
        <w:tc>
          <w:tcPr>
            <w:tcW w:w="1245" w:type="pct"/>
          </w:tcPr>
          <w:p w14:paraId="3120C4E6">
            <w:pPr>
              <w:rPr>
                <w:rFonts w:hint="default" w:ascii="微软雅黑" w:hAnsi="微软雅黑" w:eastAsia="微软雅黑" w:cs="微软雅黑"/>
                <w:b w:val="0"/>
                <w:bCs w:val="0"/>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t>楼栋</w:t>
            </w:r>
          </w:p>
        </w:tc>
        <w:tc>
          <w:tcPr>
            <w:tcW w:w="567" w:type="pct"/>
          </w:tcPr>
          <w:p w14:paraId="08C03F88">
            <w:pPr>
              <w:rPr>
                <w:rFonts w:hint="default" w:ascii="微软雅黑" w:hAnsi="微软雅黑" w:eastAsia="微软雅黑" w:cs="微软雅黑"/>
                <w:b w:val="0"/>
                <w:bCs w:val="0"/>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t>面积㎡</w:t>
            </w:r>
          </w:p>
        </w:tc>
        <w:tc>
          <w:tcPr>
            <w:tcW w:w="695" w:type="pct"/>
          </w:tcPr>
          <w:p w14:paraId="028F2B5A">
            <w:pPr>
              <w:rPr>
                <w:rFonts w:hint="default" w:ascii="微软雅黑" w:hAnsi="微软雅黑" w:eastAsia="微软雅黑" w:cs="微软雅黑"/>
                <w:b w:val="0"/>
                <w:bCs w:val="0"/>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t>检测参数</w:t>
            </w:r>
          </w:p>
        </w:tc>
        <w:tc>
          <w:tcPr>
            <w:tcW w:w="1136" w:type="pct"/>
          </w:tcPr>
          <w:p w14:paraId="1C077B7C">
            <w:pPr>
              <w:rPr>
                <w:rFonts w:hint="default" w:ascii="微软雅黑" w:hAnsi="微软雅黑" w:eastAsia="微软雅黑" w:cs="微软雅黑"/>
                <w:b w:val="0"/>
                <w:bCs w:val="0"/>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t>检测数量</w:t>
            </w:r>
          </w:p>
        </w:tc>
        <w:tc>
          <w:tcPr>
            <w:tcW w:w="915" w:type="pct"/>
          </w:tcPr>
          <w:p w14:paraId="37DD5D6B">
            <w:pPr>
              <w:rPr>
                <w:rFonts w:hint="default" w:ascii="微软雅黑" w:hAnsi="微软雅黑" w:eastAsia="微软雅黑" w:cs="微软雅黑"/>
                <w:b w:val="0"/>
                <w:bCs w:val="0"/>
                <w:i w:val="0"/>
                <w:iCs w:val="0"/>
                <w:caps w:val="0"/>
                <w:color w:val="000000"/>
                <w:spacing w:val="0"/>
                <w:kern w:val="0"/>
                <w:sz w:val="24"/>
                <w:szCs w:val="24"/>
                <w:shd w:val="clear" w:fill="FFFFFF"/>
                <w:lang w:val="en-US" w:eastAsia="zh-CN" w:bidi="ar"/>
              </w:rPr>
            </w:pPr>
          </w:p>
        </w:tc>
      </w:tr>
      <w:tr w14:paraId="02E1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40" w:type="pct"/>
          </w:tcPr>
          <w:p w14:paraId="2DB48C5E">
            <w:pPr>
              <w:rPr>
                <w:rFonts w:hint="default" w:ascii="微软雅黑" w:hAnsi="微软雅黑" w:eastAsia="微软雅黑" w:cs="微软雅黑"/>
                <w:b w:val="0"/>
                <w:bCs w:val="0"/>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t>1</w:t>
            </w:r>
          </w:p>
        </w:tc>
        <w:tc>
          <w:tcPr>
            <w:tcW w:w="1245" w:type="pct"/>
          </w:tcPr>
          <w:p w14:paraId="7A0BD746">
            <w:pPr>
              <w:rPr>
                <w:rFonts w:hint="default" w:ascii="微软雅黑" w:hAnsi="微软雅黑" w:eastAsia="微软雅黑" w:cs="微软雅黑"/>
                <w:b w:val="0"/>
                <w:bCs w:val="0"/>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t>广元市中医医院门诊住院综合楼</w:t>
            </w:r>
          </w:p>
        </w:tc>
        <w:tc>
          <w:tcPr>
            <w:tcW w:w="567" w:type="pct"/>
          </w:tcPr>
          <w:p w14:paraId="140F35F3">
            <w:pPr>
              <w:rPr>
                <w:rFonts w:hint="default" w:ascii="微软雅黑" w:hAnsi="微软雅黑" w:eastAsia="微软雅黑" w:cs="微软雅黑"/>
                <w:b w:val="0"/>
                <w:bCs w:val="0"/>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t>64071</w:t>
            </w:r>
          </w:p>
        </w:tc>
        <w:tc>
          <w:tcPr>
            <w:tcW w:w="695" w:type="pct"/>
          </w:tcPr>
          <w:p w14:paraId="439C6CDD">
            <w:pPr>
              <w:rPr>
                <w:rFonts w:hint="default" w:ascii="微软雅黑" w:hAnsi="微软雅黑" w:eastAsia="微软雅黑" w:cs="微软雅黑"/>
                <w:b w:val="0"/>
                <w:bCs w:val="0"/>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t>笨</w:t>
            </w:r>
          </w:p>
        </w:tc>
        <w:tc>
          <w:tcPr>
            <w:tcW w:w="1136" w:type="pct"/>
            <w:vMerge w:val="restart"/>
          </w:tcPr>
          <w:p w14:paraId="7E2818B5">
            <w:pPr>
              <w:spacing w:line="240" w:lineRule="auto"/>
              <w:jc w:val="left"/>
              <w:rPr>
                <w:rFonts w:hint="default" w:ascii="微软雅黑" w:hAnsi="微软雅黑" w:eastAsia="微软雅黑" w:cs="微软雅黑"/>
                <w:b w:val="0"/>
                <w:bCs w:val="0"/>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t>按《民用建筑工程室内环境污染控制规范》GB50325-2020要求取点检测</w:t>
            </w:r>
          </w:p>
        </w:tc>
        <w:tc>
          <w:tcPr>
            <w:tcW w:w="915" w:type="pct"/>
          </w:tcPr>
          <w:p w14:paraId="754A7C6F">
            <w:pPr>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pPr>
          </w:p>
        </w:tc>
      </w:tr>
      <w:tr w14:paraId="74B5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40" w:type="pct"/>
          </w:tcPr>
          <w:p w14:paraId="2E19ADA2">
            <w:pPr>
              <w:rPr>
                <w:rFonts w:hint="default" w:ascii="微软雅黑" w:hAnsi="微软雅黑" w:eastAsia="微软雅黑" w:cs="微软雅黑"/>
                <w:b w:val="0"/>
                <w:bCs w:val="0"/>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t>2</w:t>
            </w:r>
          </w:p>
        </w:tc>
        <w:tc>
          <w:tcPr>
            <w:tcW w:w="1245" w:type="pct"/>
          </w:tcPr>
          <w:p w14:paraId="31B43B05">
            <w:pPr>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pPr>
          </w:p>
        </w:tc>
        <w:tc>
          <w:tcPr>
            <w:tcW w:w="567" w:type="pct"/>
          </w:tcPr>
          <w:p w14:paraId="6914C426">
            <w:pPr>
              <w:rPr>
                <w:rFonts w:hint="default" w:ascii="微软雅黑" w:hAnsi="微软雅黑" w:eastAsia="微软雅黑" w:cs="微软雅黑"/>
                <w:b w:val="0"/>
                <w:bCs w:val="0"/>
                <w:i w:val="0"/>
                <w:iCs w:val="0"/>
                <w:caps w:val="0"/>
                <w:color w:val="000000"/>
                <w:spacing w:val="0"/>
                <w:kern w:val="0"/>
                <w:sz w:val="24"/>
                <w:szCs w:val="24"/>
                <w:shd w:val="clear" w:fill="FFFFFF"/>
                <w:lang w:val="en-US" w:eastAsia="zh-CN" w:bidi="ar"/>
              </w:rPr>
            </w:pPr>
          </w:p>
        </w:tc>
        <w:tc>
          <w:tcPr>
            <w:tcW w:w="695" w:type="pct"/>
          </w:tcPr>
          <w:p w14:paraId="2BC4A257">
            <w:pPr>
              <w:rPr>
                <w:rFonts w:hint="default" w:ascii="微软雅黑" w:hAnsi="微软雅黑" w:eastAsia="微软雅黑" w:cs="微软雅黑"/>
                <w:b w:val="0"/>
                <w:bCs w:val="0"/>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t>氨</w:t>
            </w:r>
          </w:p>
        </w:tc>
        <w:tc>
          <w:tcPr>
            <w:tcW w:w="1136" w:type="pct"/>
            <w:vMerge w:val="continue"/>
          </w:tcPr>
          <w:p w14:paraId="35BBB67E">
            <w:pPr>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pPr>
          </w:p>
        </w:tc>
        <w:tc>
          <w:tcPr>
            <w:tcW w:w="915" w:type="pct"/>
          </w:tcPr>
          <w:p w14:paraId="092A7ABF">
            <w:pPr>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pPr>
          </w:p>
        </w:tc>
      </w:tr>
      <w:tr w14:paraId="6CE2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40" w:type="pct"/>
          </w:tcPr>
          <w:p w14:paraId="3922F49F">
            <w:pPr>
              <w:rPr>
                <w:rFonts w:hint="default"/>
                <w:sz w:val="24"/>
                <w:szCs w:val="24"/>
                <w:vertAlign w:val="baseline"/>
                <w:lang w:val="en-US" w:eastAsia="zh-CN"/>
              </w:rPr>
            </w:pPr>
            <w:r>
              <w:rPr>
                <w:rFonts w:hint="eastAsia"/>
                <w:sz w:val="24"/>
                <w:szCs w:val="24"/>
                <w:vertAlign w:val="baseline"/>
                <w:lang w:val="en-US" w:eastAsia="zh-CN"/>
              </w:rPr>
              <w:t>3</w:t>
            </w:r>
          </w:p>
        </w:tc>
        <w:tc>
          <w:tcPr>
            <w:tcW w:w="1245" w:type="pct"/>
          </w:tcPr>
          <w:p w14:paraId="3EC908A7">
            <w:pPr>
              <w:rPr>
                <w:rFonts w:hint="eastAsia" w:eastAsiaTheme="minorEastAsia"/>
                <w:sz w:val="24"/>
                <w:szCs w:val="24"/>
                <w:vertAlign w:val="baseline"/>
                <w:lang w:val="en-US" w:eastAsia="zh-CN"/>
              </w:rPr>
            </w:pPr>
          </w:p>
        </w:tc>
        <w:tc>
          <w:tcPr>
            <w:tcW w:w="567" w:type="pct"/>
          </w:tcPr>
          <w:p w14:paraId="5BF591D3">
            <w:pPr>
              <w:rPr>
                <w:rFonts w:hint="default" w:eastAsiaTheme="minorEastAsia"/>
                <w:sz w:val="24"/>
                <w:szCs w:val="24"/>
                <w:vertAlign w:val="baseline"/>
                <w:lang w:val="en-US" w:eastAsia="zh-CN"/>
              </w:rPr>
            </w:pPr>
          </w:p>
        </w:tc>
        <w:tc>
          <w:tcPr>
            <w:tcW w:w="695" w:type="pct"/>
          </w:tcPr>
          <w:p w14:paraId="695BEC89">
            <w:pPr>
              <w:rPr>
                <w:rFonts w:hint="eastAsia"/>
                <w:sz w:val="24"/>
                <w:szCs w:val="24"/>
                <w:vertAlign w:val="baseline"/>
                <w:lang w:val="en-US" w:eastAsia="zh-CN"/>
              </w:rPr>
            </w:pPr>
          </w:p>
          <w:p w14:paraId="3B90ABBA">
            <w:pPr>
              <w:rPr>
                <w:rFonts w:hint="default" w:eastAsiaTheme="minorEastAsia"/>
                <w:sz w:val="24"/>
                <w:szCs w:val="24"/>
                <w:vertAlign w:val="baseline"/>
                <w:lang w:val="en-US" w:eastAsia="zh-CN"/>
              </w:rPr>
            </w:pPr>
            <w:r>
              <w:rPr>
                <w:rFonts w:hint="eastAsia"/>
                <w:sz w:val="24"/>
                <w:szCs w:val="24"/>
                <w:vertAlign w:val="baseline"/>
                <w:lang w:val="en-US" w:eastAsia="zh-CN"/>
              </w:rPr>
              <w:t>甲醛</w:t>
            </w:r>
          </w:p>
        </w:tc>
        <w:tc>
          <w:tcPr>
            <w:tcW w:w="1136" w:type="pct"/>
            <w:vMerge w:val="continue"/>
          </w:tcPr>
          <w:p w14:paraId="045171EB">
            <w:pPr>
              <w:rPr>
                <w:rFonts w:hint="eastAsia" w:eastAsiaTheme="minorEastAsia"/>
                <w:sz w:val="24"/>
                <w:szCs w:val="24"/>
                <w:vertAlign w:val="baseline"/>
                <w:lang w:val="en-US" w:eastAsia="zh-CN"/>
              </w:rPr>
            </w:pPr>
          </w:p>
        </w:tc>
        <w:tc>
          <w:tcPr>
            <w:tcW w:w="915" w:type="pct"/>
          </w:tcPr>
          <w:p w14:paraId="1F036F2F">
            <w:pPr>
              <w:rPr>
                <w:rFonts w:hint="eastAsia" w:eastAsiaTheme="minorEastAsia"/>
                <w:sz w:val="24"/>
                <w:szCs w:val="24"/>
                <w:vertAlign w:val="baseline"/>
                <w:lang w:val="en-US" w:eastAsia="zh-CN"/>
              </w:rPr>
            </w:pPr>
          </w:p>
        </w:tc>
      </w:tr>
      <w:tr w14:paraId="68E3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14:paraId="016D5F29">
            <w:pPr>
              <w:rPr>
                <w:rFonts w:hint="default"/>
                <w:sz w:val="24"/>
                <w:szCs w:val="24"/>
                <w:vertAlign w:val="baseline"/>
                <w:lang w:val="en-US" w:eastAsia="zh-CN"/>
              </w:rPr>
            </w:pPr>
            <w:r>
              <w:rPr>
                <w:rFonts w:hint="eastAsia"/>
                <w:sz w:val="24"/>
                <w:szCs w:val="24"/>
                <w:vertAlign w:val="baseline"/>
                <w:lang w:val="en-US" w:eastAsia="zh-CN"/>
              </w:rPr>
              <w:t>4</w:t>
            </w:r>
          </w:p>
        </w:tc>
        <w:tc>
          <w:tcPr>
            <w:tcW w:w="1245" w:type="pct"/>
          </w:tcPr>
          <w:p w14:paraId="644EFE8C">
            <w:pPr>
              <w:rPr>
                <w:rFonts w:hint="eastAsia" w:eastAsiaTheme="minorEastAsia"/>
                <w:sz w:val="24"/>
                <w:szCs w:val="24"/>
                <w:vertAlign w:val="baseline"/>
                <w:lang w:val="en-US" w:eastAsia="zh-CN"/>
              </w:rPr>
            </w:pPr>
          </w:p>
        </w:tc>
        <w:tc>
          <w:tcPr>
            <w:tcW w:w="567" w:type="pct"/>
          </w:tcPr>
          <w:p w14:paraId="03674AAA">
            <w:pPr>
              <w:rPr>
                <w:rFonts w:hint="default" w:eastAsiaTheme="minorEastAsia"/>
                <w:sz w:val="24"/>
                <w:szCs w:val="24"/>
                <w:vertAlign w:val="baseline"/>
                <w:lang w:val="en-US" w:eastAsia="zh-CN"/>
              </w:rPr>
            </w:pPr>
          </w:p>
        </w:tc>
        <w:tc>
          <w:tcPr>
            <w:tcW w:w="695" w:type="pct"/>
          </w:tcPr>
          <w:p w14:paraId="0B12D57E">
            <w:pPr>
              <w:rPr>
                <w:rFonts w:hint="eastAsia"/>
                <w:sz w:val="24"/>
                <w:szCs w:val="24"/>
                <w:vertAlign w:val="baseline"/>
                <w:lang w:val="en-US" w:eastAsia="zh-CN"/>
              </w:rPr>
            </w:pPr>
          </w:p>
          <w:p w14:paraId="7E15110F">
            <w:pPr>
              <w:rPr>
                <w:rFonts w:hint="default" w:eastAsiaTheme="minorEastAsia"/>
                <w:sz w:val="24"/>
                <w:szCs w:val="24"/>
                <w:vertAlign w:val="baseline"/>
                <w:lang w:val="en-US" w:eastAsia="zh-CN"/>
              </w:rPr>
            </w:pPr>
            <w:r>
              <w:rPr>
                <w:rFonts w:hint="eastAsia"/>
                <w:sz w:val="24"/>
                <w:szCs w:val="24"/>
                <w:vertAlign w:val="baseline"/>
                <w:lang w:val="en-US" w:eastAsia="zh-CN"/>
              </w:rPr>
              <w:t>氡</w:t>
            </w:r>
          </w:p>
        </w:tc>
        <w:tc>
          <w:tcPr>
            <w:tcW w:w="1136" w:type="pct"/>
            <w:vMerge w:val="continue"/>
          </w:tcPr>
          <w:p w14:paraId="11F86700">
            <w:pPr>
              <w:rPr>
                <w:rFonts w:hint="eastAsia" w:eastAsiaTheme="minorEastAsia"/>
                <w:sz w:val="24"/>
                <w:szCs w:val="24"/>
                <w:vertAlign w:val="baseline"/>
                <w:lang w:val="en-US" w:eastAsia="zh-CN"/>
              </w:rPr>
            </w:pPr>
          </w:p>
        </w:tc>
        <w:tc>
          <w:tcPr>
            <w:tcW w:w="915" w:type="pct"/>
          </w:tcPr>
          <w:p w14:paraId="5C47EE62">
            <w:pPr>
              <w:rPr>
                <w:rFonts w:hint="eastAsia" w:eastAsiaTheme="minorEastAsia"/>
                <w:sz w:val="24"/>
                <w:szCs w:val="24"/>
                <w:vertAlign w:val="baseline"/>
                <w:lang w:val="en-US" w:eastAsia="zh-CN"/>
              </w:rPr>
            </w:pPr>
          </w:p>
        </w:tc>
      </w:tr>
      <w:tr w14:paraId="6AA1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14:paraId="59A10F8F">
            <w:pPr>
              <w:rPr>
                <w:rFonts w:hint="default"/>
                <w:sz w:val="24"/>
                <w:szCs w:val="24"/>
                <w:vertAlign w:val="baseline"/>
                <w:lang w:val="en-US" w:eastAsia="zh-CN"/>
              </w:rPr>
            </w:pPr>
            <w:r>
              <w:rPr>
                <w:rFonts w:hint="eastAsia"/>
                <w:sz w:val="24"/>
                <w:szCs w:val="24"/>
                <w:vertAlign w:val="baseline"/>
                <w:lang w:val="en-US" w:eastAsia="zh-CN"/>
              </w:rPr>
              <w:t>5</w:t>
            </w:r>
          </w:p>
        </w:tc>
        <w:tc>
          <w:tcPr>
            <w:tcW w:w="1245" w:type="pct"/>
          </w:tcPr>
          <w:p w14:paraId="704AC243">
            <w:pPr>
              <w:rPr>
                <w:rFonts w:hint="eastAsia" w:eastAsiaTheme="minorEastAsia"/>
                <w:sz w:val="24"/>
                <w:szCs w:val="24"/>
                <w:vertAlign w:val="baseline"/>
                <w:lang w:val="en-US" w:eastAsia="zh-CN"/>
              </w:rPr>
            </w:pPr>
          </w:p>
        </w:tc>
        <w:tc>
          <w:tcPr>
            <w:tcW w:w="567" w:type="pct"/>
          </w:tcPr>
          <w:p w14:paraId="483F636B">
            <w:pPr>
              <w:rPr>
                <w:rFonts w:hint="default" w:eastAsiaTheme="minorEastAsia"/>
                <w:sz w:val="24"/>
                <w:szCs w:val="24"/>
                <w:vertAlign w:val="baseline"/>
                <w:lang w:val="en-US" w:eastAsia="zh-CN"/>
              </w:rPr>
            </w:pPr>
          </w:p>
        </w:tc>
        <w:tc>
          <w:tcPr>
            <w:tcW w:w="695" w:type="pct"/>
          </w:tcPr>
          <w:p w14:paraId="46DBC4E0">
            <w:pPr>
              <w:rPr>
                <w:rFonts w:hint="eastAsia"/>
                <w:sz w:val="24"/>
                <w:szCs w:val="24"/>
                <w:vertAlign w:val="baseline"/>
                <w:lang w:val="en-US" w:eastAsia="zh-CN"/>
              </w:rPr>
            </w:pPr>
          </w:p>
          <w:p w14:paraId="70DC3899">
            <w:pPr>
              <w:rPr>
                <w:rFonts w:hint="default"/>
                <w:sz w:val="24"/>
                <w:szCs w:val="24"/>
                <w:vertAlign w:val="baseline"/>
                <w:lang w:val="en-US" w:eastAsia="zh-CN"/>
              </w:rPr>
            </w:pPr>
            <w:r>
              <w:rPr>
                <w:rFonts w:hint="eastAsia"/>
                <w:sz w:val="24"/>
                <w:szCs w:val="24"/>
                <w:vertAlign w:val="baseline"/>
                <w:lang w:val="en-US" w:eastAsia="zh-CN"/>
              </w:rPr>
              <w:t>TVOC</w:t>
            </w:r>
          </w:p>
        </w:tc>
        <w:tc>
          <w:tcPr>
            <w:tcW w:w="1136" w:type="pct"/>
            <w:vMerge w:val="continue"/>
          </w:tcPr>
          <w:p w14:paraId="64D080DE">
            <w:pPr>
              <w:rPr>
                <w:rFonts w:hint="eastAsia" w:eastAsiaTheme="minorEastAsia"/>
                <w:sz w:val="24"/>
                <w:szCs w:val="24"/>
                <w:vertAlign w:val="baseline"/>
                <w:lang w:val="en-US" w:eastAsia="zh-CN"/>
              </w:rPr>
            </w:pPr>
          </w:p>
        </w:tc>
        <w:tc>
          <w:tcPr>
            <w:tcW w:w="915" w:type="pct"/>
          </w:tcPr>
          <w:p w14:paraId="35EEF694">
            <w:pPr>
              <w:rPr>
                <w:rFonts w:hint="eastAsia" w:eastAsiaTheme="minorEastAsia"/>
                <w:sz w:val="24"/>
                <w:szCs w:val="24"/>
                <w:vertAlign w:val="baseline"/>
                <w:lang w:val="en-US" w:eastAsia="zh-CN"/>
              </w:rPr>
            </w:pPr>
          </w:p>
        </w:tc>
      </w:tr>
    </w:tbl>
    <w:p w14:paraId="42103989">
      <w:pPr>
        <w:rPr>
          <w:rFonts w:hint="eastAsia" w:eastAsiaTheme="minorEastAsia"/>
          <w:lang w:val="en-US" w:eastAsia="zh-CN"/>
        </w:rPr>
      </w:pPr>
    </w:p>
    <w:p w14:paraId="276DBD2D">
      <w:pPr>
        <w:rPr>
          <w:rFonts w:hint="default" w:ascii="微软雅黑" w:hAnsi="微软雅黑" w:eastAsia="微软雅黑" w:cs="微软雅黑"/>
          <w:b w:val="0"/>
          <w:bCs w:val="0"/>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t>注：检测数量不得少于相关标准规范规定得最低检测数量要求。</w:t>
      </w:r>
    </w:p>
    <w:p w14:paraId="478F5933"/>
    <w:p w14:paraId="2A10E874"/>
    <w:p w14:paraId="5034BF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懐流体"/>
    <w:panose1 w:val="00000000000000000000"/>
    <w:charset w:val="00"/>
    <w:family w:val="auto"/>
    <w:pitch w:val="default"/>
    <w:sig w:usb0="00000000" w:usb1="00000000" w:usb2="00000000" w:usb3="00000000" w:csb0="00000000" w:csb1="00000000"/>
  </w:font>
  <w:font w:name="★懐流体">
    <w:panose1 w:val="02000600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B65A3"/>
    <w:rsid w:val="004D1E6D"/>
    <w:rsid w:val="0D2B1C24"/>
    <w:rsid w:val="305B65A3"/>
    <w:rsid w:val="482F0E70"/>
    <w:rsid w:val="60E90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800</Words>
  <Characters>864</Characters>
  <Lines>0</Lines>
  <Paragraphs>0</Paragraphs>
  <TotalTime>14</TotalTime>
  <ScaleCrop>false</ScaleCrop>
  <LinksUpToDate>false</LinksUpToDate>
  <CharactersWithSpaces>943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2025-05-21T07:25:00Z</dcterms:created>
  <dc:creator>王俊朝</dc:creator>
  <cp:lastModifiedBy>杨辉</cp:lastModifiedBy>
  <dcterms:modified xsi:type="dcterms:W3CDTF">2025-05-21T10:16:39Z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FD6B76F128B245E39766C4335FB78A4B_13</vt:lpwstr>
  </property>
  <property fmtid="{D5CDD505-2E9C-101B-9397-08002B2CF9AE}" pid="4" name="KSOTemplateDocerSaveRecord">
    <vt:lpwstr>eyJoZGlkIjoiNWVmNDRhMWUzNzQwNTJkMzUzNTc0YjZjY2JmZDA1ZGEiLCJ1c2VySWQiOiI2MzMzNDc1ODgifQ==</vt:lpwstr>
  </property>
</Properties>
</file>